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A0" w:rsidRDefault="00F02AA0" w:rsidP="00F02AA0">
      <w:pPr>
        <w:rPr>
          <w:color w:val="FF0000"/>
          <w:szCs w:val="22"/>
        </w:rPr>
      </w:pPr>
      <w:r>
        <w:rPr>
          <w:color w:val="FF0000"/>
          <w:szCs w:val="22"/>
        </w:rPr>
        <w:t xml:space="preserve">Appendix </w:t>
      </w:r>
      <w:r w:rsidR="007A1F60">
        <w:rPr>
          <w:color w:val="FF0000"/>
          <w:szCs w:val="22"/>
        </w:rPr>
        <w:t>1</w:t>
      </w:r>
      <w:bookmarkStart w:id="0" w:name="_GoBack"/>
      <w:bookmarkEnd w:id="0"/>
      <w:r>
        <w:rPr>
          <w:color w:val="FF0000"/>
          <w:szCs w:val="22"/>
        </w:rPr>
        <w:t xml:space="preserve"> – summary of consultation responses as presented to General Licensing Committee in October 2017</w:t>
      </w:r>
    </w:p>
    <w:p w:rsidR="00F02AA0" w:rsidRPr="008144E5" w:rsidRDefault="00F02AA0" w:rsidP="00F02AA0">
      <w:pPr>
        <w:ind w:left="426" w:hanging="426"/>
        <w:rPr>
          <w:color w:val="FF0000"/>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469"/>
        <w:gridCol w:w="2701"/>
        <w:gridCol w:w="2655"/>
      </w:tblGrid>
      <w:tr w:rsidR="00F02AA0" w:rsidRPr="008144E5" w:rsidTr="000839C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02AA0" w:rsidRPr="00F73832" w:rsidRDefault="00F02AA0" w:rsidP="000839C5">
            <w:pPr>
              <w:ind w:left="426" w:hanging="426"/>
              <w:jc w:val="center"/>
              <w:rPr>
                <w:b/>
                <w:szCs w:val="22"/>
              </w:rPr>
            </w:pPr>
            <w:r w:rsidRPr="00F73832">
              <w:rPr>
                <w:b/>
                <w:szCs w:val="22"/>
              </w:rPr>
              <w:t>Source: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02AA0" w:rsidRPr="00F73832" w:rsidRDefault="00F02AA0" w:rsidP="000839C5">
            <w:pPr>
              <w:ind w:left="426" w:hanging="426"/>
              <w:jc w:val="center"/>
              <w:rPr>
                <w:b/>
                <w:szCs w:val="22"/>
              </w:rPr>
            </w:pPr>
            <w:r w:rsidRPr="00F73832">
              <w:rPr>
                <w:b/>
                <w:szCs w:val="2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02AA0" w:rsidRPr="00F73832" w:rsidRDefault="00F02AA0" w:rsidP="000839C5">
            <w:pPr>
              <w:ind w:left="426" w:hanging="426"/>
              <w:jc w:val="center"/>
              <w:rPr>
                <w:b/>
                <w:szCs w:val="22"/>
              </w:rPr>
            </w:pPr>
            <w:r w:rsidRPr="00F73832">
              <w:rPr>
                <w:b/>
                <w:szCs w:val="22"/>
              </w:rPr>
              <w:t>Issue: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02AA0" w:rsidRPr="00F73832" w:rsidRDefault="00F02AA0" w:rsidP="000839C5">
            <w:pPr>
              <w:ind w:left="426" w:hanging="426"/>
              <w:jc w:val="center"/>
              <w:rPr>
                <w:b/>
                <w:szCs w:val="22"/>
              </w:rPr>
            </w:pPr>
            <w:r w:rsidRPr="00F73832">
              <w:rPr>
                <w:b/>
                <w:szCs w:val="22"/>
              </w:rPr>
              <w:t>Council response</w:t>
            </w:r>
          </w:p>
        </w:tc>
      </w:tr>
      <w:tr w:rsidR="00F02AA0" w:rsidRPr="008144E5" w:rsidTr="000839C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02AA0" w:rsidRPr="00F73832" w:rsidRDefault="00F02AA0" w:rsidP="000839C5">
            <w:pPr>
              <w:ind w:left="426" w:hanging="426"/>
              <w:rPr>
                <w:szCs w:val="22"/>
              </w:rPr>
            </w:pPr>
            <w:r w:rsidRPr="00F73832">
              <w:rPr>
                <w:szCs w:val="22"/>
              </w:rPr>
              <w:t>Driver 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02AA0" w:rsidRPr="00F73832" w:rsidRDefault="00F02AA0" w:rsidP="000839C5">
            <w:pPr>
              <w:ind w:left="426" w:hanging="426"/>
              <w:rPr>
                <w:szCs w:val="22"/>
              </w:rPr>
            </w:pPr>
            <w:r w:rsidRPr="00F73832">
              <w:rPr>
                <w:szCs w:val="22"/>
              </w:rPr>
              <w:t>17.8.17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02AA0" w:rsidRPr="00F73832" w:rsidRDefault="00F02AA0" w:rsidP="000839C5">
            <w:pPr>
              <w:jc w:val="both"/>
              <w:rPr>
                <w:szCs w:val="22"/>
              </w:rPr>
            </w:pPr>
            <w:r w:rsidRPr="00F73832">
              <w:rPr>
                <w:szCs w:val="22"/>
              </w:rPr>
              <w:t>Not like the thought of just 1 testing station for this it creates an unfair competition which forces prices up.</w:t>
            </w:r>
          </w:p>
          <w:p w:rsidR="00F02AA0" w:rsidRPr="00F73832" w:rsidRDefault="00F02AA0" w:rsidP="000839C5">
            <w:pPr>
              <w:jc w:val="both"/>
              <w:rPr>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02AA0" w:rsidRPr="00F73832" w:rsidRDefault="00F02AA0" w:rsidP="000839C5">
            <w:pPr>
              <w:jc w:val="both"/>
              <w:rPr>
                <w:szCs w:val="22"/>
              </w:rPr>
            </w:pPr>
            <w:r w:rsidRPr="00F73832">
              <w:rPr>
                <w:szCs w:val="22"/>
              </w:rPr>
              <w:t>Noted</w:t>
            </w:r>
          </w:p>
        </w:tc>
      </w:tr>
      <w:tr w:rsidR="00F02AA0" w:rsidRPr="008144E5" w:rsidTr="000839C5">
        <w:tc>
          <w:tcPr>
            <w:tcW w:w="1809" w:type="dxa"/>
            <w:tcBorders>
              <w:top w:val="single" w:sz="4" w:space="0" w:color="auto"/>
              <w:left w:val="single" w:sz="4" w:space="0" w:color="auto"/>
              <w:bottom w:val="single" w:sz="4" w:space="0" w:color="auto"/>
              <w:right w:val="single" w:sz="4" w:space="0" w:color="auto"/>
            </w:tcBorders>
            <w:shd w:val="clear" w:color="auto" w:fill="auto"/>
          </w:tcPr>
          <w:p w:rsidR="00F02AA0" w:rsidRPr="00F73832" w:rsidRDefault="00F02AA0" w:rsidP="000839C5">
            <w:pPr>
              <w:ind w:left="426" w:hanging="426"/>
              <w:rPr>
                <w:szCs w:val="22"/>
              </w:rPr>
            </w:pPr>
            <w:r w:rsidRPr="00F73832">
              <w:rPr>
                <w:szCs w:val="22"/>
              </w:rPr>
              <w:t>Driver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2AA0" w:rsidRPr="00F73832" w:rsidRDefault="00F02AA0" w:rsidP="000839C5">
            <w:pPr>
              <w:ind w:left="426" w:hanging="426"/>
              <w:rPr>
                <w:szCs w:val="22"/>
              </w:rPr>
            </w:pPr>
            <w:r w:rsidRPr="00F73832">
              <w:rPr>
                <w:szCs w:val="22"/>
              </w:rPr>
              <w:t>24.8.17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02AA0" w:rsidRPr="00F73832" w:rsidRDefault="00F02AA0" w:rsidP="000839C5">
            <w:pPr>
              <w:ind w:left="34" w:hanging="34"/>
              <w:rPr>
                <w:szCs w:val="22"/>
              </w:rPr>
            </w:pPr>
            <w:r w:rsidRPr="00F73832">
              <w:rPr>
                <w:szCs w:val="22"/>
              </w:rPr>
              <w:t>Would prefer testing at SRBC approved garage rather than by LCC – would keep cost down and employment local</w:t>
            </w:r>
          </w:p>
          <w:p w:rsidR="00F02AA0" w:rsidRPr="00F73832" w:rsidRDefault="00F02AA0" w:rsidP="000839C5">
            <w:pPr>
              <w:ind w:left="34" w:hanging="34"/>
              <w:rPr>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02AA0" w:rsidRPr="00F73832" w:rsidRDefault="00F02AA0" w:rsidP="000839C5">
            <w:pPr>
              <w:ind w:left="426" w:hanging="426"/>
              <w:rPr>
                <w:szCs w:val="22"/>
              </w:rPr>
            </w:pPr>
            <w:r w:rsidRPr="00F73832">
              <w:rPr>
                <w:szCs w:val="22"/>
              </w:rPr>
              <w:t>Noted</w:t>
            </w:r>
          </w:p>
        </w:tc>
      </w:tr>
      <w:tr w:rsidR="00F02AA0" w:rsidRPr="008144E5" w:rsidTr="000839C5">
        <w:tc>
          <w:tcPr>
            <w:tcW w:w="1809" w:type="dxa"/>
            <w:tcBorders>
              <w:top w:val="single" w:sz="4" w:space="0" w:color="auto"/>
              <w:left w:val="single" w:sz="4" w:space="0" w:color="auto"/>
              <w:bottom w:val="single" w:sz="4" w:space="0" w:color="auto"/>
              <w:right w:val="single" w:sz="4" w:space="0" w:color="auto"/>
            </w:tcBorders>
            <w:shd w:val="clear" w:color="auto" w:fill="auto"/>
          </w:tcPr>
          <w:p w:rsidR="00F02AA0" w:rsidRPr="00F73832" w:rsidRDefault="00F02AA0" w:rsidP="000839C5">
            <w:pPr>
              <w:ind w:left="426" w:hanging="426"/>
              <w:rPr>
                <w:szCs w:val="22"/>
              </w:rPr>
            </w:pPr>
            <w:r w:rsidRPr="00F73832">
              <w:rPr>
                <w:szCs w:val="22"/>
              </w:rPr>
              <w:t>LCC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2AA0" w:rsidRPr="00F73832" w:rsidRDefault="00F02AA0" w:rsidP="000839C5">
            <w:pPr>
              <w:ind w:left="426" w:hanging="426"/>
              <w:rPr>
                <w:szCs w:val="22"/>
              </w:rPr>
            </w:pPr>
            <w:r w:rsidRPr="00F73832">
              <w:rPr>
                <w:szCs w:val="22"/>
              </w:rPr>
              <w:t>25.8.17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02AA0" w:rsidRPr="00F73832" w:rsidRDefault="00F02AA0" w:rsidP="000839C5">
            <w:pPr>
              <w:ind w:left="34" w:hanging="34"/>
              <w:rPr>
                <w:szCs w:val="22"/>
              </w:rPr>
            </w:pPr>
            <w:r w:rsidRPr="00F73832">
              <w:rPr>
                <w:szCs w:val="22"/>
              </w:rPr>
              <w:t>Draft suggests that maximum height of step should be 420mm for first step and 300 mm for subsequent ones, whereas LCC criteria for school work are 250mm for first step and 300mm for subsequent ones</w:t>
            </w:r>
          </w:p>
          <w:p w:rsidR="00F02AA0" w:rsidRPr="00F73832" w:rsidRDefault="00F02AA0" w:rsidP="000839C5">
            <w:pPr>
              <w:ind w:left="34" w:hanging="34"/>
              <w:rPr>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02AA0" w:rsidRPr="00F73832" w:rsidRDefault="00F02AA0" w:rsidP="000839C5">
            <w:pPr>
              <w:ind w:left="426" w:hanging="426"/>
              <w:rPr>
                <w:szCs w:val="22"/>
              </w:rPr>
            </w:pPr>
            <w:r w:rsidRPr="00F73832">
              <w:rPr>
                <w:szCs w:val="22"/>
              </w:rPr>
              <w:t>Noted</w:t>
            </w:r>
          </w:p>
        </w:tc>
      </w:tr>
      <w:tr w:rsidR="00F02AA0" w:rsidRPr="008144E5" w:rsidTr="000839C5">
        <w:tc>
          <w:tcPr>
            <w:tcW w:w="1809" w:type="dxa"/>
            <w:tcBorders>
              <w:top w:val="single" w:sz="4" w:space="0" w:color="auto"/>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r w:rsidRPr="00F73832">
              <w:rPr>
                <w:szCs w:val="22"/>
              </w:rPr>
              <w:t>Manufacturer 1</w:t>
            </w:r>
          </w:p>
        </w:tc>
        <w:tc>
          <w:tcPr>
            <w:tcW w:w="1559" w:type="dxa"/>
            <w:tcBorders>
              <w:top w:val="single" w:sz="4" w:space="0" w:color="auto"/>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r w:rsidRPr="00F73832">
              <w:rPr>
                <w:szCs w:val="22"/>
              </w:rPr>
              <w:t>30.8.17</w:t>
            </w:r>
          </w:p>
        </w:tc>
        <w:tc>
          <w:tcPr>
            <w:tcW w:w="2835" w:type="dxa"/>
            <w:tcBorders>
              <w:top w:val="single" w:sz="4" w:space="0" w:color="auto"/>
              <w:left w:val="single" w:sz="4" w:space="0" w:color="auto"/>
              <w:bottom w:val="nil"/>
              <w:right w:val="single" w:sz="4" w:space="0" w:color="auto"/>
            </w:tcBorders>
            <w:shd w:val="clear" w:color="auto" w:fill="auto"/>
          </w:tcPr>
          <w:p w:rsidR="00F02AA0" w:rsidRPr="00F73832" w:rsidRDefault="00F02AA0" w:rsidP="000839C5">
            <w:pPr>
              <w:rPr>
                <w:b/>
                <w:szCs w:val="22"/>
              </w:rPr>
            </w:pPr>
            <w:r w:rsidRPr="00F73832">
              <w:rPr>
                <w:b/>
                <w:szCs w:val="22"/>
                <w:u w:val="single"/>
              </w:rPr>
              <w:t>Inspections to ensure converted vehicles have been correctly and safety modified</w:t>
            </w:r>
            <w:r w:rsidRPr="00F73832">
              <w:rPr>
                <w:b/>
                <w:szCs w:val="22"/>
              </w:rPr>
              <w:t>:</w:t>
            </w:r>
          </w:p>
          <w:p w:rsidR="00F02AA0" w:rsidRPr="00F73832" w:rsidRDefault="00F02AA0" w:rsidP="000839C5">
            <w:pPr>
              <w:rPr>
                <w:szCs w:val="22"/>
              </w:rPr>
            </w:pPr>
          </w:p>
          <w:p w:rsidR="00F02AA0" w:rsidRPr="00F73832" w:rsidRDefault="00F02AA0" w:rsidP="000839C5">
            <w:pPr>
              <w:rPr>
                <w:szCs w:val="22"/>
              </w:rPr>
            </w:pPr>
            <w:r w:rsidRPr="00F73832">
              <w:rPr>
                <w:szCs w:val="22"/>
              </w:rPr>
              <w:t xml:space="preserve">Feels that further consultation is required with all interested parties before a meaningful revision to a policy for wheelchair accessible vehicles can be adopted </w:t>
            </w:r>
          </w:p>
          <w:p w:rsidR="00F02AA0" w:rsidRPr="00F73832" w:rsidRDefault="00F02AA0" w:rsidP="000839C5">
            <w:pPr>
              <w:rPr>
                <w:szCs w:val="22"/>
              </w:rPr>
            </w:pPr>
            <w:r w:rsidRPr="00F73832">
              <w:rPr>
                <w:szCs w:val="22"/>
              </w:rPr>
              <w:t xml:space="preserve"> </w:t>
            </w:r>
          </w:p>
        </w:tc>
        <w:tc>
          <w:tcPr>
            <w:tcW w:w="2835" w:type="dxa"/>
            <w:tcBorders>
              <w:top w:val="single" w:sz="4" w:space="0" w:color="auto"/>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r w:rsidRPr="00F73832">
              <w:rPr>
                <w:szCs w:val="22"/>
              </w:rPr>
              <w:t>All noted</w:t>
            </w:r>
          </w:p>
        </w:tc>
      </w:tr>
      <w:tr w:rsidR="00F02AA0" w:rsidRPr="008144E5" w:rsidTr="000839C5">
        <w:tc>
          <w:tcPr>
            <w:tcW w:w="180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nil"/>
              <w:right w:val="single" w:sz="4" w:space="0" w:color="auto"/>
            </w:tcBorders>
            <w:shd w:val="clear" w:color="auto" w:fill="auto"/>
          </w:tcPr>
          <w:p w:rsidR="00F02AA0" w:rsidRPr="00F73832" w:rsidRDefault="00F02AA0" w:rsidP="000839C5">
            <w:pPr>
              <w:rPr>
                <w:szCs w:val="22"/>
              </w:rPr>
            </w:pPr>
            <w:r w:rsidRPr="00F73832">
              <w:rPr>
                <w:szCs w:val="22"/>
              </w:rPr>
              <w:t>Current testing regime by LCC ensures vehicles are inspected to VOSA standards and include ensuring tracking and seats are correctly fitted</w:t>
            </w:r>
          </w:p>
          <w:p w:rsidR="00F02AA0" w:rsidRPr="00F73832" w:rsidRDefault="00F02AA0" w:rsidP="000839C5">
            <w:pPr>
              <w:rPr>
                <w:szCs w:val="22"/>
              </w:rPr>
            </w:pPr>
          </w:p>
        </w:tc>
        <w:tc>
          <w:tcPr>
            <w:tcW w:w="2835" w:type="dxa"/>
            <w:tcBorders>
              <w:top w:val="nil"/>
              <w:left w:val="single" w:sz="4" w:space="0" w:color="auto"/>
              <w:bottom w:val="nil"/>
              <w:right w:val="single" w:sz="4" w:space="0" w:color="auto"/>
            </w:tcBorders>
            <w:shd w:val="clear" w:color="auto" w:fill="auto"/>
          </w:tcPr>
          <w:p w:rsidR="00F02AA0" w:rsidRPr="008144E5" w:rsidRDefault="00F02AA0" w:rsidP="000839C5">
            <w:pPr>
              <w:ind w:left="426" w:hanging="426"/>
              <w:rPr>
                <w:color w:val="FF0000"/>
                <w:szCs w:val="22"/>
              </w:rPr>
            </w:pPr>
          </w:p>
        </w:tc>
      </w:tr>
      <w:tr w:rsidR="00F02AA0" w:rsidRPr="008144E5" w:rsidTr="000839C5">
        <w:tc>
          <w:tcPr>
            <w:tcW w:w="180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nil"/>
              <w:right w:val="single" w:sz="4" w:space="0" w:color="auto"/>
            </w:tcBorders>
            <w:shd w:val="clear" w:color="auto" w:fill="auto"/>
          </w:tcPr>
          <w:p w:rsidR="00F02AA0" w:rsidRPr="00F73832" w:rsidRDefault="00F02AA0" w:rsidP="000839C5">
            <w:pPr>
              <w:ind w:left="34" w:hanging="34"/>
              <w:rPr>
                <w:szCs w:val="22"/>
              </w:rPr>
            </w:pPr>
            <w:r w:rsidRPr="00F73832">
              <w:rPr>
                <w:szCs w:val="22"/>
              </w:rPr>
              <w:t>Current testing undertaken by the appointed testing stations also ensure correct fitting and use of seats and seatbelt during a class 5 test</w:t>
            </w:r>
          </w:p>
          <w:p w:rsidR="00F02AA0" w:rsidRPr="00F73832" w:rsidRDefault="00F02AA0" w:rsidP="000839C5">
            <w:pPr>
              <w:ind w:left="34" w:hanging="34"/>
              <w:rPr>
                <w:szCs w:val="22"/>
              </w:rPr>
            </w:pPr>
          </w:p>
        </w:tc>
        <w:tc>
          <w:tcPr>
            <w:tcW w:w="2835" w:type="dxa"/>
            <w:tcBorders>
              <w:top w:val="nil"/>
              <w:left w:val="single" w:sz="4" w:space="0" w:color="auto"/>
              <w:bottom w:val="nil"/>
              <w:right w:val="single" w:sz="4" w:space="0" w:color="auto"/>
            </w:tcBorders>
            <w:shd w:val="clear" w:color="auto" w:fill="auto"/>
          </w:tcPr>
          <w:p w:rsidR="00F02AA0" w:rsidRPr="008144E5" w:rsidRDefault="00F02AA0" w:rsidP="000839C5">
            <w:pPr>
              <w:ind w:left="426" w:hanging="426"/>
              <w:rPr>
                <w:color w:val="FF0000"/>
                <w:szCs w:val="22"/>
              </w:rPr>
            </w:pPr>
          </w:p>
        </w:tc>
      </w:tr>
      <w:tr w:rsidR="00F02AA0" w:rsidRPr="008144E5" w:rsidTr="000839C5">
        <w:tc>
          <w:tcPr>
            <w:tcW w:w="180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nil"/>
              <w:right w:val="single" w:sz="4" w:space="0" w:color="auto"/>
            </w:tcBorders>
            <w:shd w:val="clear" w:color="auto" w:fill="auto"/>
          </w:tcPr>
          <w:p w:rsidR="00F02AA0" w:rsidRPr="00F73832" w:rsidRDefault="00F02AA0" w:rsidP="000839C5">
            <w:pPr>
              <w:ind w:left="34" w:hanging="34"/>
              <w:rPr>
                <w:szCs w:val="22"/>
              </w:rPr>
            </w:pPr>
            <w:r w:rsidRPr="00F73832">
              <w:rPr>
                <w:szCs w:val="22"/>
              </w:rPr>
              <w:t>Seating compliance is impossible to demonstrate for older vehicles already licensed  as many seat certificates are unavailable from manufacturers  due to age</w:t>
            </w:r>
          </w:p>
          <w:p w:rsidR="00F02AA0" w:rsidRPr="00F73832" w:rsidRDefault="00F02AA0" w:rsidP="000839C5">
            <w:pPr>
              <w:ind w:left="34" w:hanging="34"/>
              <w:rPr>
                <w:szCs w:val="22"/>
              </w:rPr>
            </w:pPr>
          </w:p>
        </w:tc>
        <w:tc>
          <w:tcPr>
            <w:tcW w:w="2835" w:type="dxa"/>
            <w:tcBorders>
              <w:top w:val="nil"/>
              <w:left w:val="single" w:sz="4" w:space="0" w:color="auto"/>
              <w:bottom w:val="nil"/>
              <w:right w:val="single" w:sz="4" w:space="0" w:color="auto"/>
            </w:tcBorders>
            <w:shd w:val="clear" w:color="auto" w:fill="auto"/>
          </w:tcPr>
          <w:p w:rsidR="00F02AA0" w:rsidRPr="008144E5" w:rsidRDefault="00F02AA0" w:rsidP="000839C5">
            <w:pPr>
              <w:ind w:left="426" w:hanging="426"/>
              <w:rPr>
                <w:color w:val="FF0000"/>
                <w:szCs w:val="22"/>
              </w:rPr>
            </w:pPr>
          </w:p>
        </w:tc>
      </w:tr>
      <w:tr w:rsidR="00F02AA0" w:rsidRPr="008144E5" w:rsidTr="000839C5">
        <w:tc>
          <w:tcPr>
            <w:tcW w:w="180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nil"/>
              <w:right w:val="single" w:sz="4" w:space="0" w:color="auto"/>
            </w:tcBorders>
            <w:shd w:val="clear" w:color="auto" w:fill="auto"/>
          </w:tcPr>
          <w:p w:rsidR="00F02AA0" w:rsidRPr="00F73832" w:rsidRDefault="00F02AA0" w:rsidP="000839C5">
            <w:pPr>
              <w:rPr>
                <w:b/>
                <w:u w:val="single"/>
              </w:rPr>
            </w:pPr>
            <w:r w:rsidRPr="00F73832">
              <w:rPr>
                <w:b/>
                <w:u w:val="single"/>
              </w:rPr>
              <w:t>Standards for modified minibuses/</w:t>
            </w:r>
            <w:proofErr w:type="spellStart"/>
            <w:r w:rsidRPr="00F73832">
              <w:rPr>
                <w:b/>
                <w:u w:val="single"/>
              </w:rPr>
              <w:t>psv’s</w:t>
            </w:r>
            <w:proofErr w:type="spellEnd"/>
          </w:p>
          <w:p w:rsidR="00F02AA0" w:rsidRPr="00F73832" w:rsidRDefault="00F02AA0" w:rsidP="000839C5">
            <w:pPr>
              <w:ind w:left="34" w:hanging="34"/>
              <w:rPr>
                <w:szCs w:val="22"/>
              </w:rPr>
            </w:pPr>
          </w:p>
          <w:p w:rsidR="00F02AA0" w:rsidRPr="00F73832" w:rsidRDefault="00F02AA0" w:rsidP="000839C5">
            <w:pPr>
              <w:ind w:left="34" w:hanging="34"/>
              <w:rPr>
                <w:szCs w:val="22"/>
              </w:rPr>
            </w:pPr>
            <w:r w:rsidRPr="00F73832">
              <w:t>All drivers have been trained in wheelchair use by LCC compliance officer</w:t>
            </w:r>
          </w:p>
          <w:p w:rsidR="00F02AA0" w:rsidRPr="00F73832" w:rsidRDefault="00F02AA0" w:rsidP="000839C5">
            <w:pPr>
              <w:ind w:left="34" w:hanging="34"/>
              <w:rPr>
                <w:szCs w:val="22"/>
              </w:rPr>
            </w:pPr>
          </w:p>
        </w:tc>
        <w:tc>
          <w:tcPr>
            <w:tcW w:w="2835" w:type="dxa"/>
            <w:tcBorders>
              <w:top w:val="nil"/>
              <w:left w:val="single" w:sz="4" w:space="0" w:color="auto"/>
              <w:bottom w:val="nil"/>
              <w:right w:val="single" w:sz="4" w:space="0" w:color="auto"/>
            </w:tcBorders>
            <w:shd w:val="clear" w:color="auto" w:fill="auto"/>
          </w:tcPr>
          <w:p w:rsidR="00F02AA0" w:rsidRPr="008144E5" w:rsidRDefault="00F02AA0" w:rsidP="000839C5">
            <w:pPr>
              <w:ind w:left="426" w:hanging="426"/>
              <w:rPr>
                <w:color w:val="FF0000"/>
                <w:szCs w:val="22"/>
              </w:rPr>
            </w:pPr>
          </w:p>
        </w:tc>
      </w:tr>
      <w:tr w:rsidR="00F02AA0" w:rsidRPr="008144E5" w:rsidTr="000839C5">
        <w:tc>
          <w:tcPr>
            <w:tcW w:w="180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nil"/>
              <w:right w:val="single" w:sz="4" w:space="0" w:color="auto"/>
            </w:tcBorders>
            <w:shd w:val="clear" w:color="auto" w:fill="auto"/>
          </w:tcPr>
          <w:p w:rsidR="00F02AA0" w:rsidRPr="00F73832" w:rsidRDefault="00F02AA0" w:rsidP="000839C5">
            <w:pPr>
              <w:ind w:left="34" w:hanging="34"/>
            </w:pPr>
            <w:r w:rsidRPr="00F73832">
              <w:t>Passenger seats have the same trim wherever possible but due to operational needs matching seats are not always possible. This is not a safety issue and these type of vehicles aren’t front line taxis that service the general public directly</w:t>
            </w:r>
          </w:p>
          <w:p w:rsidR="00F02AA0" w:rsidRPr="00F73832" w:rsidRDefault="00F02AA0" w:rsidP="000839C5">
            <w:pPr>
              <w:ind w:left="34" w:hanging="34"/>
              <w:rPr>
                <w:szCs w:val="22"/>
              </w:rPr>
            </w:pPr>
          </w:p>
        </w:tc>
        <w:tc>
          <w:tcPr>
            <w:tcW w:w="2835" w:type="dxa"/>
            <w:tcBorders>
              <w:top w:val="nil"/>
              <w:left w:val="single" w:sz="4" w:space="0" w:color="auto"/>
              <w:bottom w:val="nil"/>
              <w:right w:val="single" w:sz="4" w:space="0" w:color="auto"/>
            </w:tcBorders>
            <w:shd w:val="clear" w:color="auto" w:fill="auto"/>
          </w:tcPr>
          <w:p w:rsidR="00F02AA0" w:rsidRPr="008144E5" w:rsidRDefault="00F02AA0" w:rsidP="000839C5">
            <w:pPr>
              <w:ind w:left="426" w:hanging="426"/>
              <w:rPr>
                <w:color w:val="FF0000"/>
                <w:szCs w:val="22"/>
              </w:rPr>
            </w:pPr>
          </w:p>
        </w:tc>
      </w:tr>
      <w:tr w:rsidR="00F02AA0" w:rsidRPr="008144E5" w:rsidTr="000839C5">
        <w:tc>
          <w:tcPr>
            <w:tcW w:w="180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nil"/>
              <w:right w:val="single" w:sz="4" w:space="0" w:color="auto"/>
            </w:tcBorders>
            <w:shd w:val="clear" w:color="auto" w:fill="auto"/>
          </w:tcPr>
          <w:p w:rsidR="00F02AA0" w:rsidRPr="00F73832" w:rsidRDefault="00F02AA0" w:rsidP="000839C5">
            <w:pPr>
              <w:ind w:left="34" w:hanging="34"/>
              <w:rPr>
                <w:szCs w:val="22"/>
              </w:rPr>
            </w:pPr>
            <w:r w:rsidRPr="00F73832">
              <w:rPr>
                <w:szCs w:val="22"/>
              </w:rPr>
              <w:t>Floor height at 420mm incorrect</w:t>
            </w:r>
          </w:p>
          <w:p w:rsidR="00F02AA0" w:rsidRPr="00F73832" w:rsidRDefault="00F02AA0" w:rsidP="000839C5">
            <w:pPr>
              <w:ind w:left="34" w:hanging="34"/>
              <w:rPr>
                <w:szCs w:val="22"/>
              </w:rPr>
            </w:pPr>
          </w:p>
        </w:tc>
        <w:tc>
          <w:tcPr>
            <w:tcW w:w="2835" w:type="dxa"/>
            <w:tcBorders>
              <w:top w:val="nil"/>
              <w:left w:val="single" w:sz="4" w:space="0" w:color="auto"/>
              <w:bottom w:val="nil"/>
              <w:right w:val="single" w:sz="4" w:space="0" w:color="auto"/>
            </w:tcBorders>
            <w:shd w:val="clear" w:color="auto" w:fill="auto"/>
          </w:tcPr>
          <w:p w:rsidR="00F02AA0" w:rsidRPr="008144E5" w:rsidRDefault="00F02AA0" w:rsidP="000839C5">
            <w:pPr>
              <w:ind w:left="426" w:hanging="426"/>
              <w:rPr>
                <w:color w:val="FF0000"/>
                <w:szCs w:val="22"/>
              </w:rPr>
            </w:pPr>
          </w:p>
        </w:tc>
      </w:tr>
      <w:tr w:rsidR="00F02AA0" w:rsidRPr="008144E5" w:rsidTr="000839C5">
        <w:tc>
          <w:tcPr>
            <w:tcW w:w="180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nil"/>
              <w:right w:val="single" w:sz="4" w:space="0" w:color="auto"/>
            </w:tcBorders>
            <w:shd w:val="clear" w:color="auto" w:fill="auto"/>
          </w:tcPr>
          <w:p w:rsidR="00F02AA0" w:rsidRPr="00F73832" w:rsidRDefault="00F02AA0" w:rsidP="000839C5">
            <w:pPr>
              <w:ind w:left="34" w:hanging="34"/>
              <w:rPr>
                <w:szCs w:val="22"/>
              </w:rPr>
            </w:pPr>
            <w:r w:rsidRPr="00F73832">
              <w:rPr>
                <w:szCs w:val="22"/>
              </w:rPr>
              <w:t>Minimum rail length incorrect or wrongly worded</w:t>
            </w:r>
          </w:p>
          <w:p w:rsidR="00F02AA0" w:rsidRPr="00F73832" w:rsidRDefault="00F02AA0" w:rsidP="000839C5">
            <w:pPr>
              <w:ind w:left="34" w:hanging="34"/>
              <w:rPr>
                <w:szCs w:val="22"/>
              </w:rPr>
            </w:pPr>
          </w:p>
        </w:tc>
        <w:tc>
          <w:tcPr>
            <w:tcW w:w="2835" w:type="dxa"/>
            <w:tcBorders>
              <w:top w:val="nil"/>
              <w:left w:val="single" w:sz="4" w:space="0" w:color="auto"/>
              <w:bottom w:val="nil"/>
              <w:right w:val="single" w:sz="4" w:space="0" w:color="auto"/>
            </w:tcBorders>
            <w:shd w:val="clear" w:color="auto" w:fill="auto"/>
          </w:tcPr>
          <w:p w:rsidR="00F02AA0" w:rsidRPr="008144E5" w:rsidRDefault="00F02AA0" w:rsidP="000839C5">
            <w:pPr>
              <w:ind w:left="426" w:hanging="426"/>
              <w:rPr>
                <w:color w:val="FF0000"/>
                <w:szCs w:val="22"/>
              </w:rPr>
            </w:pPr>
          </w:p>
        </w:tc>
      </w:tr>
      <w:tr w:rsidR="00F02AA0" w:rsidRPr="008144E5" w:rsidTr="000839C5">
        <w:tc>
          <w:tcPr>
            <w:tcW w:w="180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nil"/>
              <w:right w:val="single" w:sz="4" w:space="0" w:color="auto"/>
            </w:tcBorders>
            <w:shd w:val="clear" w:color="auto" w:fill="auto"/>
          </w:tcPr>
          <w:p w:rsidR="00F02AA0" w:rsidRPr="00F73832" w:rsidRDefault="00F02AA0" w:rsidP="000839C5">
            <w:pPr>
              <w:ind w:left="34" w:hanging="34"/>
              <w:rPr>
                <w:szCs w:val="22"/>
              </w:rPr>
            </w:pPr>
            <w:r w:rsidRPr="00F73832">
              <w:rPr>
                <w:szCs w:val="22"/>
              </w:rPr>
              <w:t>Turning circle of a wheelchair within the vehicle doesn’t seem to have any relevance.</w:t>
            </w:r>
          </w:p>
          <w:p w:rsidR="00F02AA0" w:rsidRPr="00F73832" w:rsidRDefault="00F02AA0" w:rsidP="000839C5">
            <w:pPr>
              <w:ind w:left="34" w:hanging="34"/>
              <w:rPr>
                <w:szCs w:val="22"/>
              </w:rPr>
            </w:pPr>
          </w:p>
        </w:tc>
        <w:tc>
          <w:tcPr>
            <w:tcW w:w="2835" w:type="dxa"/>
            <w:tcBorders>
              <w:top w:val="nil"/>
              <w:left w:val="single" w:sz="4" w:space="0" w:color="auto"/>
              <w:bottom w:val="nil"/>
              <w:right w:val="single" w:sz="4" w:space="0" w:color="auto"/>
            </w:tcBorders>
            <w:shd w:val="clear" w:color="auto" w:fill="auto"/>
          </w:tcPr>
          <w:p w:rsidR="00F02AA0" w:rsidRPr="008144E5" w:rsidRDefault="00F02AA0" w:rsidP="000839C5">
            <w:pPr>
              <w:ind w:left="426" w:hanging="426"/>
              <w:rPr>
                <w:color w:val="FF0000"/>
                <w:szCs w:val="22"/>
              </w:rPr>
            </w:pPr>
          </w:p>
        </w:tc>
      </w:tr>
      <w:tr w:rsidR="00F02AA0" w:rsidRPr="008144E5" w:rsidTr="000839C5">
        <w:tc>
          <w:tcPr>
            <w:tcW w:w="180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nil"/>
              <w:right w:val="single" w:sz="4" w:space="0" w:color="auto"/>
            </w:tcBorders>
            <w:shd w:val="clear" w:color="auto" w:fill="auto"/>
          </w:tcPr>
          <w:p w:rsidR="00F02AA0" w:rsidRPr="00F73832" w:rsidRDefault="00F02AA0" w:rsidP="000839C5">
            <w:pPr>
              <w:rPr>
                <w:b/>
                <w:u w:val="single"/>
              </w:rPr>
            </w:pPr>
            <w:r w:rsidRPr="00F73832">
              <w:rPr>
                <w:b/>
                <w:u w:val="single"/>
              </w:rPr>
              <w:t>Testing going forward</w:t>
            </w:r>
          </w:p>
          <w:p w:rsidR="00F02AA0" w:rsidRPr="00F73832" w:rsidRDefault="00F02AA0" w:rsidP="000839C5">
            <w:pPr>
              <w:ind w:left="34" w:hanging="34"/>
              <w:rPr>
                <w:szCs w:val="22"/>
              </w:rPr>
            </w:pPr>
          </w:p>
          <w:p w:rsidR="00F02AA0" w:rsidRPr="00F73832" w:rsidRDefault="00F02AA0" w:rsidP="000839C5">
            <w:pPr>
              <w:rPr>
                <w:szCs w:val="22"/>
              </w:rPr>
            </w:pPr>
            <w:r w:rsidRPr="00F73832">
              <w:t>IVA’s booking are not easily available in the local area.  I understand that FMU may have capacity issues if they were to undertake all of the ongoing road worthiness testing.</w:t>
            </w:r>
          </w:p>
          <w:p w:rsidR="00F02AA0" w:rsidRPr="00F73832" w:rsidRDefault="00F02AA0" w:rsidP="000839C5">
            <w:pPr>
              <w:ind w:left="34" w:hanging="34"/>
              <w:rPr>
                <w:szCs w:val="22"/>
              </w:rPr>
            </w:pPr>
          </w:p>
        </w:tc>
        <w:tc>
          <w:tcPr>
            <w:tcW w:w="2835" w:type="dxa"/>
            <w:tcBorders>
              <w:top w:val="nil"/>
              <w:left w:val="single" w:sz="4" w:space="0" w:color="auto"/>
              <w:bottom w:val="nil"/>
              <w:right w:val="single" w:sz="4" w:space="0" w:color="auto"/>
            </w:tcBorders>
            <w:shd w:val="clear" w:color="auto" w:fill="auto"/>
          </w:tcPr>
          <w:p w:rsidR="00F02AA0" w:rsidRPr="008144E5" w:rsidRDefault="00F02AA0" w:rsidP="000839C5">
            <w:pPr>
              <w:ind w:left="426" w:hanging="426"/>
              <w:rPr>
                <w:color w:val="FF0000"/>
                <w:szCs w:val="22"/>
              </w:rPr>
            </w:pPr>
          </w:p>
        </w:tc>
      </w:tr>
      <w:tr w:rsidR="00F02AA0" w:rsidRPr="008144E5" w:rsidTr="000839C5">
        <w:tc>
          <w:tcPr>
            <w:tcW w:w="180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nil"/>
              <w:right w:val="single" w:sz="4" w:space="0" w:color="auto"/>
            </w:tcBorders>
            <w:shd w:val="clear" w:color="auto" w:fill="auto"/>
          </w:tcPr>
          <w:p w:rsidR="00F02AA0" w:rsidRPr="00F73832" w:rsidRDefault="00F02AA0" w:rsidP="000839C5">
            <w:r w:rsidRPr="00F73832">
              <w:t>We propose FMU undertake a 1</w:t>
            </w:r>
            <w:r w:rsidRPr="00F73832">
              <w:rPr>
                <w:vertAlign w:val="superscript"/>
              </w:rPr>
              <w:t>st</w:t>
            </w:r>
            <w:r w:rsidRPr="00F73832">
              <w:t xml:space="preserve"> use inspection instead of an </w:t>
            </w:r>
            <w:r w:rsidRPr="00F73832">
              <w:lastRenderedPageBreak/>
              <w:t>IVA using the amended Appendix one details to tests to be undertaken on modified vehicles. The current appendix has some errors that would need to be amended before it is to be used</w:t>
            </w:r>
          </w:p>
          <w:p w:rsidR="00F02AA0" w:rsidRPr="00F73832" w:rsidRDefault="00F02AA0" w:rsidP="000839C5">
            <w:pPr>
              <w:ind w:left="34" w:hanging="34"/>
              <w:rPr>
                <w:szCs w:val="22"/>
              </w:rPr>
            </w:pPr>
          </w:p>
        </w:tc>
        <w:tc>
          <w:tcPr>
            <w:tcW w:w="2835" w:type="dxa"/>
            <w:tcBorders>
              <w:top w:val="nil"/>
              <w:left w:val="single" w:sz="4" w:space="0" w:color="auto"/>
              <w:bottom w:val="nil"/>
              <w:right w:val="single" w:sz="4" w:space="0" w:color="auto"/>
            </w:tcBorders>
            <w:shd w:val="clear" w:color="auto" w:fill="auto"/>
          </w:tcPr>
          <w:p w:rsidR="00F02AA0" w:rsidRPr="008144E5" w:rsidRDefault="00F02AA0" w:rsidP="000839C5">
            <w:pPr>
              <w:ind w:left="426" w:hanging="426"/>
              <w:rPr>
                <w:color w:val="FF0000"/>
                <w:szCs w:val="22"/>
              </w:rPr>
            </w:pPr>
          </w:p>
        </w:tc>
      </w:tr>
      <w:tr w:rsidR="00F02AA0" w:rsidRPr="008144E5" w:rsidTr="000839C5">
        <w:tc>
          <w:tcPr>
            <w:tcW w:w="180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nil"/>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nil"/>
              <w:right w:val="single" w:sz="4" w:space="0" w:color="auto"/>
            </w:tcBorders>
            <w:shd w:val="clear" w:color="auto" w:fill="auto"/>
          </w:tcPr>
          <w:p w:rsidR="00F02AA0" w:rsidRPr="00F73832" w:rsidRDefault="00F02AA0" w:rsidP="000839C5">
            <w:r w:rsidRPr="00F73832">
              <w:t xml:space="preserve">Opposed to testing solely by LCC - ongoing testing to be undertaken by authorised garages using established taxi test regime along with an amended appendix one.   </w:t>
            </w:r>
          </w:p>
          <w:p w:rsidR="00F02AA0" w:rsidRPr="00F73832" w:rsidRDefault="00F02AA0" w:rsidP="000839C5">
            <w:pPr>
              <w:ind w:left="34" w:hanging="34"/>
              <w:rPr>
                <w:szCs w:val="22"/>
              </w:rPr>
            </w:pPr>
          </w:p>
        </w:tc>
        <w:tc>
          <w:tcPr>
            <w:tcW w:w="2835" w:type="dxa"/>
            <w:tcBorders>
              <w:top w:val="nil"/>
              <w:left w:val="single" w:sz="4" w:space="0" w:color="auto"/>
              <w:bottom w:val="nil"/>
              <w:right w:val="single" w:sz="4" w:space="0" w:color="auto"/>
            </w:tcBorders>
            <w:shd w:val="clear" w:color="auto" w:fill="auto"/>
          </w:tcPr>
          <w:p w:rsidR="00F02AA0" w:rsidRPr="008144E5" w:rsidRDefault="00F02AA0" w:rsidP="000839C5">
            <w:pPr>
              <w:ind w:left="426" w:hanging="426"/>
              <w:rPr>
                <w:color w:val="FF0000"/>
                <w:szCs w:val="22"/>
              </w:rPr>
            </w:pPr>
          </w:p>
        </w:tc>
      </w:tr>
      <w:tr w:rsidR="00F02AA0" w:rsidRPr="008144E5" w:rsidTr="000839C5">
        <w:tc>
          <w:tcPr>
            <w:tcW w:w="1809" w:type="dxa"/>
            <w:tcBorders>
              <w:top w:val="nil"/>
              <w:left w:val="single" w:sz="4" w:space="0" w:color="auto"/>
              <w:bottom w:val="single" w:sz="4" w:space="0" w:color="auto"/>
              <w:right w:val="single" w:sz="4" w:space="0" w:color="auto"/>
            </w:tcBorders>
            <w:shd w:val="clear" w:color="auto" w:fill="auto"/>
          </w:tcPr>
          <w:p w:rsidR="00F02AA0" w:rsidRPr="00F73832" w:rsidRDefault="00F02AA0" w:rsidP="000839C5">
            <w:pPr>
              <w:ind w:left="426" w:hanging="426"/>
              <w:rPr>
                <w:szCs w:val="22"/>
              </w:rPr>
            </w:pPr>
          </w:p>
        </w:tc>
        <w:tc>
          <w:tcPr>
            <w:tcW w:w="1559" w:type="dxa"/>
            <w:tcBorders>
              <w:top w:val="nil"/>
              <w:left w:val="single" w:sz="4" w:space="0" w:color="auto"/>
              <w:bottom w:val="single" w:sz="4" w:space="0" w:color="auto"/>
              <w:right w:val="single" w:sz="4" w:space="0" w:color="auto"/>
            </w:tcBorders>
            <w:shd w:val="clear" w:color="auto" w:fill="auto"/>
          </w:tcPr>
          <w:p w:rsidR="00F02AA0" w:rsidRPr="00F73832" w:rsidRDefault="00F02AA0" w:rsidP="000839C5">
            <w:pPr>
              <w:ind w:left="426" w:hanging="426"/>
              <w:rPr>
                <w:szCs w:val="22"/>
              </w:rPr>
            </w:pPr>
          </w:p>
        </w:tc>
        <w:tc>
          <w:tcPr>
            <w:tcW w:w="2835" w:type="dxa"/>
            <w:tcBorders>
              <w:top w:val="nil"/>
              <w:left w:val="single" w:sz="4" w:space="0" w:color="auto"/>
              <w:bottom w:val="single" w:sz="4" w:space="0" w:color="auto"/>
              <w:right w:val="single" w:sz="4" w:space="0" w:color="auto"/>
            </w:tcBorders>
            <w:shd w:val="clear" w:color="auto" w:fill="auto"/>
          </w:tcPr>
          <w:p w:rsidR="00F02AA0" w:rsidRPr="00F73832" w:rsidRDefault="00F02AA0" w:rsidP="000839C5">
            <w:r w:rsidRPr="00F73832">
              <w:t>This is only a brief response due to current time constraints  and I feel a great deal more of further consultation is required before things can move forward.</w:t>
            </w:r>
          </w:p>
          <w:p w:rsidR="00F02AA0" w:rsidRPr="00F73832" w:rsidRDefault="00F02AA0" w:rsidP="000839C5">
            <w:pPr>
              <w:rPr>
                <w:szCs w:val="22"/>
              </w:rPr>
            </w:pPr>
            <w:r w:rsidRPr="00F73832">
              <w:t>I am happy to work with SRBC to this end.</w:t>
            </w:r>
          </w:p>
        </w:tc>
        <w:tc>
          <w:tcPr>
            <w:tcW w:w="2835" w:type="dxa"/>
            <w:tcBorders>
              <w:top w:val="nil"/>
              <w:left w:val="single" w:sz="4" w:space="0" w:color="auto"/>
              <w:bottom w:val="single" w:sz="4" w:space="0" w:color="auto"/>
              <w:right w:val="single" w:sz="4" w:space="0" w:color="auto"/>
            </w:tcBorders>
            <w:shd w:val="clear" w:color="auto" w:fill="auto"/>
          </w:tcPr>
          <w:p w:rsidR="00F02AA0" w:rsidRPr="008144E5" w:rsidRDefault="00F02AA0" w:rsidP="000839C5">
            <w:pPr>
              <w:ind w:left="426" w:hanging="426"/>
              <w:rPr>
                <w:color w:val="FF0000"/>
                <w:szCs w:val="22"/>
              </w:rPr>
            </w:pPr>
          </w:p>
        </w:tc>
      </w:tr>
    </w:tbl>
    <w:p w:rsidR="00F02AA0" w:rsidRDefault="00F02AA0" w:rsidP="00F02AA0">
      <w:pPr>
        <w:ind w:left="426" w:hanging="426"/>
        <w:rPr>
          <w:color w:val="FF0000"/>
          <w:szCs w:val="22"/>
        </w:rPr>
      </w:pPr>
    </w:p>
    <w:p w:rsidR="00076638" w:rsidRDefault="00076638"/>
    <w:sectPr w:rsidR="00076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A0"/>
    <w:rsid w:val="00076638"/>
    <w:rsid w:val="007A1F60"/>
    <w:rsid w:val="00F02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8A4F0-E838-4F02-B3A7-1C9649D7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A0"/>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Andrew</dc:creator>
  <cp:keywords/>
  <dc:description/>
  <cp:lastModifiedBy>Glover, Andrew</cp:lastModifiedBy>
  <cp:revision>2</cp:revision>
  <dcterms:created xsi:type="dcterms:W3CDTF">2018-01-09T17:12:00Z</dcterms:created>
  <dcterms:modified xsi:type="dcterms:W3CDTF">2018-01-25T17:54:00Z</dcterms:modified>
</cp:coreProperties>
</file>